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CB4" w:rsidP="5ED52C46" w:rsidRDefault="00A90CB4" w14:paraId="66818100" w14:textId="14162D19">
      <w:pPr>
        <w:pStyle w:val="Normal"/>
        <w:rPr>
          <w:b w:val="1"/>
          <w:bCs w:val="1"/>
          <w:sz w:val="28"/>
          <w:szCs w:val="28"/>
        </w:rPr>
      </w:pPr>
      <w:bookmarkStart w:name="_GoBack" w:id="0"/>
      <w:bookmarkEnd w:id="0"/>
      <w:r w:rsidRPr="5ED52C46" w:rsidR="00A90CB4">
        <w:rPr>
          <w:b w:val="1"/>
          <w:bCs w:val="1"/>
          <w:sz w:val="28"/>
          <w:szCs w:val="28"/>
        </w:rPr>
        <w:t>Aboriginal Customary Laws and Sentencing: Existing Law and Practice</w:t>
      </w:r>
    </w:p>
    <w:p w:rsidR="00B86A4A" w:rsidP="00A90CB4" w:rsidRDefault="00B86A4A" w14:paraId="5A78BA0D" w14:textId="64866F0B">
      <w:pPr>
        <w:rPr>
          <w:b/>
          <w:sz w:val="28"/>
          <w:szCs w:val="28"/>
        </w:rPr>
      </w:pPr>
    </w:p>
    <w:p w:rsidR="00B86A4A" w:rsidP="00A90CB4" w:rsidRDefault="00EB1F2B" w14:paraId="145EEF89" w14:textId="5A10BB84">
      <w:hyperlink w:history="1" r:id="rId5">
        <w:r w:rsidRPr="00C95EE4" w:rsidR="00B86A4A">
          <w:rPr>
            <w:rStyle w:val="Hyperlink"/>
          </w:rPr>
          <w:t>https://www.alrc.gov.au/publications/21.%20Aboriginal%20Customary%20Laws%20and%20Sentencing/aboriginal-customary-laws-and-sentencing-e</w:t>
        </w:r>
      </w:hyperlink>
    </w:p>
    <w:p w:rsidRPr="00B86A4A" w:rsidR="00B86A4A" w:rsidP="00A90CB4" w:rsidRDefault="00B86A4A" w14:paraId="6F72EF32" w14:textId="77777777"/>
    <w:p w:rsidRPr="00A90CB4" w:rsidR="00B86A4A" w:rsidP="00A90CB4" w:rsidRDefault="00B86A4A" w14:paraId="4CF28105" w14:textId="77777777">
      <w:pPr>
        <w:rPr>
          <w:b/>
          <w:sz w:val="28"/>
          <w:szCs w:val="28"/>
        </w:rPr>
      </w:pPr>
    </w:p>
    <w:p w:rsidRPr="00A90CB4" w:rsidR="00A90CB4" w:rsidP="00A90CB4" w:rsidRDefault="00A90CB4" w14:paraId="113ECA19" w14:textId="77777777">
      <w:pPr>
        <w:pStyle w:val="NormalWeb"/>
        <w:shd w:val="clear" w:color="auto" w:fill="FFFFFF"/>
        <w:spacing w:before="0" w:beforeAutospacing="0" w:after="300" w:afterAutospacing="0"/>
        <w:rPr>
          <w:rFonts w:ascii="Calibri" w:hAnsi="Calibri" w:cs="Calibri"/>
          <w:color w:val="555555"/>
          <w:sz w:val="21"/>
          <w:szCs w:val="21"/>
        </w:rPr>
      </w:pPr>
      <w:r w:rsidRPr="00A90CB4">
        <w:rPr>
          <w:rFonts w:ascii="Calibri" w:hAnsi="Calibri" w:cs="Calibri"/>
          <w:color w:val="555555"/>
          <w:sz w:val="21"/>
          <w:szCs w:val="21"/>
        </w:rPr>
        <w:t>492. </w:t>
      </w:r>
      <w:r w:rsidRPr="00A90CB4">
        <w:rPr>
          <w:rFonts w:ascii="Calibri" w:hAnsi="Calibri" w:cs="Calibri"/>
          <w:b/>
          <w:bCs/>
          <w:i/>
          <w:iCs/>
          <w:color w:val="555555"/>
          <w:sz w:val="21"/>
          <w:szCs w:val="21"/>
        </w:rPr>
        <w:t xml:space="preserve">R v Sydney </w:t>
      </w:r>
      <w:proofErr w:type="gramStart"/>
      <w:r w:rsidRPr="00A90CB4">
        <w:rPr>
          <w:rFonts w:ascii="Calibri" w:hAnsi="Calibri" w:cs="Calibri"/>
          <w:b/>
          <w:bCs/>
          <w:i/>
          <w:iCs/>
          <w:color w:val="555555"/>
          <w:sz w:val="21"/>
          <w:szCs w:val="21"/>
        </w:rPr>
        <w:t>Williams</w:t>
      </w:r>
      <w:r w:rsidRPr="00A90CB4">
        <w:rPr>
          <w:rFonts w:ascii="Calibri" w:hAnsi="Calibri" w:cs="Calibri"/>
          <w:color w:val="555555"/>
          <w:sz w:val="21"/>
          <w:szCs w:val="21"/>
        </w:rPr>
        <w:t>.</w:t>
      </w:r>
      <w:bookmarkStart w:name="_ftnref75" w:id="1"/>
      <w:bookmarkEnd w:id="1"/>
      <w:r w:rsidRPr="00A90CB4">
        <w:rPr>
          <w:rFonts w:ascii="Calibri" w:hAnsi="Calibri" w:cs="Calibri"/>
          <w:color w:val="555555"/>
          <w:sz w:val="21"/>
          <w:szCs w:val="21"/>
        </w:rPr>
        <w:t>[</w:t>
      </w:r>
      <w:proofErr w:type="gramEnd"/>
      <w:r w:rsidRPr="00A90CB4">
        <w:rPr>
          <w:rFonts w:ascii="Calibri" w:hAnsi="Calibri" w:cs="Calibri"/>
          <w:color w:val="555555"/>
          <w:sz w:val="21"/>
          <w:szCs w:val="21"/>
        </w:rPr>
        <w:t xml:space="preserve">75] Williams, an initiated Pitjantjatjara man, had killed a woman with whom he had been drinking, at </w:t>
      </w:r>
      <w:proofErr w:type="spellStart"/>
      <w:r w:rsidRPr="00A90CB4">
        <w:rPr>
          <w:rFonts w:ascii="Calibri" w:hAnsi="Calibri" w:cs="Calibri"/>
          <w:color w:val="555555"/>
          <w:sz w:val="21"/>
          <w:szCs w:val="21"/>
        </w:rPr>
        <w:t>Nundroo</w:t>
      </w:r>
      <w:proofErr w:type="spellEnd"/>
      <w:r w:rsidRPr="00A90CB4">
        <w:rPr>
          <w:rFonts w:ascii="Calibri" w:hAnsi="Calibri" w:cs="Calibri"/>
          <w:color w:val="555555"/>
          <w:sz w:val="21"/>
          <w:szCs w:val="21"/>
        </w:rPr>
        <w:t xml:space="preserve"> near Yalata in the far west of South Australia. He was charged with murder and brought to Adelaide for trial. The victim was very drunk and had insulted Williams, mentioning what defence counsel claimed were tribal religious secrets which women are not supposed to know, let alone speak of.</w:t>
      </w:r>
      <w:bookmarkStart w:name="_ftnref76" w:id="2"/>
      <w:bookmarkEnd w:id="2"/>
      <w:r w:rsidRPr="00A90CB4">
        <w:rPr>
          <w:rFonts w:ascii="Calibri" w:hAnsi="Calibri" w:cs="Calibri"/>
          <w:color w:val="555555"/>
          <w:sz w:val="21"/>
          <w:szCs w:val="21"/>
        </w:rPr>
        <w:t xml:space="preserve">[76] Williams told her to keep quiet but she continued to taunt him until, losing his </w:t>
      </w:r>
      <w:proofErr w:type="spellStart"/>
      <w:r w:rsidRPr="00A90CB4">
        <w:rPr>
          <w:rFonts w:ascii="Calibri" w:hAnsi="Calibri" w:cs="Calibri"/>
          <w:color w:val="555555"/>
          <w:sz w:val="21"/>
          <w:szCs w:val="21"/>
        </w:rPr>
        <w:t>self control</w:t>
      </w:r>
      <w:proofErr w:type="spellEnd"/>
      <w:r w:rsidRPr="00A90CB4">
        <w:rPr>
          <w:rFonts w:ascii="Calibri" w:hAnsi="Calibri" w:cs="Calibri"/>
          <w:color w:val="555555"/>
          <w:sz w:val="21"/>
          <w:szCs w:val="21"/>
        </w:rPr>
        <w:t>, he hit her violently with a stick and a bottle and killed her. He made certain confessions which were challenged on various grounds at his trial for murder, but which, after a hearing on the </w:t>
      </w:r>
      <w:proofErr w:type="spellStart"/>
      <w:r w:rsidRPr="00A90CB4">
        <w:rPr>
          <w:rFonts w:ascii="Calibri" w:hAnsi="Calibri" w:cs="Calibri"/>
          <w:i/>
          <w:iCs/>
          <w:color w:val="555555"/>
          <w:sz w:val="21"/>
          <w:szCs w:val="21"/>
        </w:rPr>
        <w:t>voir</w:t>
      </w:r>
      <w:proofErr w:type="spellEnd"/>
      <w:r w:rsidRPr="00A90CB4">
        <w:rPr>
          <w:rFonts w:ascii="Calibri" w:hAnsi="Calibri" w:cs="Calibri"/>
          <w:i/>
          <w:iCs/>
          <w:color w:val="555555"/>
          <w:sz w:val="21"/>
          <w:szCs w:val="21"/>
        </w:rPr>
        <w:t xml:space="preserve"> dire</w:t>
      </w:r>
      <w:r w:rsidRPr="00A90CB4">
        <w:rPr>
          <w:rFonts w:ascii="Calibri" w:hAnsi="Calibri" w:cs="Calibri"/>
          <w:color w:val="555555"/>
          <w:sz w:val="21"/>
          <w:szCs w:val="21"/>
        </w:rPr>
        <w:t xml:space="preserve">, were </w:t>
      </w:r>
      <w:proofErr w:type="gramStart"/>
      <w:r w:rsidRPr="00A90CB4">
        <w:rPr>
          <w:rFonts w:ascii="Calibri" w:hAnsi="Calibri" w:cs="Calibri"/>
          <w:color w:val="555555"/>
          <w:sz w:val="21"/>
          <w:szCs w:val="21"/>
        </w:rPr>
        <w:t>admitted.</w:t>
      </w:r>
      <w:bookmarkStart w:name="_ftnref77" w:id="3"/>
      <w:bookmarkEnd w:id="3"/>
      <w:r w:rsidRPr="00A90CB4">
        <w:rPr>
          <w:rFonts w:ascii="Calibri" w:hAnsi="Calibri" w:cs="Calibri"/>
          <w:color w:val="555555"/>
          <w:sz w:val="21"/>
          <w:szCs w:val="21"/>
        </w:rPr>
        <w:t>[</w:t>
      </w:r>
      <w:proofErr w:type="gramEnd"/>
      <w:r w:rsidRPr="00A90CB4">
        <w:rPr>
          <w:rFonts w:ascii="Calibri" w:hAnsi="Calibri" w:cs="Calibri"/>
          <w:color w:val="555555"/>
          <w:sz w:val="21"/>
          <w:szCs w:val="21"/>
        </w:rPr>
        <w:t xml:space="preserve">77] Justice Wells, with the Crown’s consent, then accepted a plea of guilty to manslaughter, taking the view that there was sufficient evidence of provocation to justify reducing the charge of murder to manslaughter. In his Submission on sentence counsel for Williams emphasised the extreme nature of the provocation in mentioning tribal secrets. He added that tribal elders had taken up the matter and that Williams was due to be punished according to tribal law. This would involve taking him to sacred areas beyond the Musgrave Ranges for about a year where he would be instructed by the elders in tribal history. The exact punishment to be imposed was not mentioned. On completion of the plea, Justice Wells said, in effect, that tribal justice should be reinforced if possible rather than simply being replaced by the European conceptions of justice, and that this would not represent an abdication of the role of the Supreme </w:t>
      </w:r>
      <w:proofErr w:type="gramStart"/>
      <w:r w:rsidRPr="00A90CB4">
        <w:rPr>
          <w:rFonts w:ascii="Calibri" w:hAnsi="Calibri" w:cs="Calibri"/>
          <w:color w:val="555555"/>
          <w:sz w:val="21"/>
          <w:szCs w:val="21"/>
        </w:rPr>
        <w:t>Court.</w:t>
      </w:r>
      <w:bookmarkStart w:name="_ftnref78" w:id="4"/>
      <w:bookmarkEnd w:id="4"/>
      <w:r w:rsidRPr="00A90CB4">
        <w:rPr>
          <w:rFonts w:ascii="Calibri" w:hAnsi="Calibri" w:cs="Calibri"/>
          <w:color w:val="555555"/>
          <w:sz w:val="21"/>
          <w:szCs w:val="21"/>
        </w:rPr>
        <w:t>[</w:t>
      </w:r>
      <w:proofErr w:type="gramEnd"/>
      <w:r w:rsidRPr="00A90CB4">
        <w:rPr>
          <w:rFonts w:ascii="Calibri" w:hAnsi="Calibri" w:cs="Calibri"/>
          <w:color w:val="555555"/>
          <w:sz w:val="21"/>
          <w:szCs w:val="21"/>
        </w:rPr>
        <w:t>78] In sentencing Williams, he said:</w:t>
      </w:r>
    </w:p>
    <w:p w:rsidRPr="00A90CB4" w:rsidR="00A90CB4" w:rsidP="00A90CB4" w:rsidRDefault="00A90CB4" w14:paraId="30DBE68B" w14:textId="77777777">
      <w:pPr>
        <w:pStyle w:val="NormalWeb"/>
        <w:shd w:val="clear" w:color="auto" w:fill="FFFFFF"/>
        <w:spacing w:before="0" w:beforeAutospacing="0" w:after="300" w:afterAutospacing="0"/>
        <w:rPr>
          <w:rFonts w:ascii="Calibri" w:hAnsi="Calibri" w:cs="Calibri"/>
          <w:color w:val="555555"/>
          <w:sz w:val="22"/>
          <w:szCs w:val="22"/>
        </w:rPr>
      </w:pPr>
      <w:r w:rsidRPr="00A90CB4">
        <w:rPr>
          <w:rFonts w:ascii="Calibri" w:hAnsi="Calibri" w:cs="Calibri"/>
          <w:color w:val="555555"/>
          <w:sz w:val="22"/>
          <w:szCs w:val="22"/>
        </w:rPr>
        <w:t>[Y]</w:t>
      </w:r>
      <w:proofErr w:type="spellStart"/>
      <w:r w:rsidRPr="00A90CB4">
        <w:rPr>
          <w:rFonts w:ascii="Calibri" w:hAnsi="Calibri" w:cs="Calibri"/>
          <w:color w:val="555555"/>
          <w:sz w:val="22"/>
          <w:szCs w:val="22"/>
        </w:rPr>
        <w:t>ou</w:t>
      </w:r>
      <w:proofErr w:type="spellEnd"/>
      <w:r w:rsidRPr="00A90CB4">
        <w:rPr>
          <w:rFonts w:ascii="Calibri" w:hAnsi="Calibri" w:cs="Calibri"/>
          <w:color w:val="555555"/>
          <w:sz w:val="22"/>
          <w:szCs w:val="22"/>
        </w:rPr>
        <w:t xml:space="preserve"> killed [the victim] and you broke the law. I know that she made you mad by the things she said to you. She spoke of forbidden things ... and you told her to sit down and keep quiet. She spoke again of more forbidden things and this time you got very angry and hit her with a stick and a bottle. You were a bit drunk and [the victim] was full drunk, but when you hit her you hit her very hard and killed her. That was wrong and forbidden by law. I must now deal with you. I am going to send you straight back to your tribe and have you handed over to the Old Men. You must behave yourself for two years and not get into any trouble. You must do what the Old Men tell you to do for one year. You must not drink wine or beer unless the Old Men allow you to. If you do any bad or wrong things or if you do not do what the Old Men tell you to do, you will go to gaol here in Adelaide for two years.</w:t>
      </w:r>
    </w:p>
    <w:p w:rsidRPr="00A90CB4" w:rsidR="00A90CB4" w:rsidP="00A90CB4" w:rsidRDefault="00A90CB4" w14:paraId="7F282494" w14:textId="77777777">
      <w:pPr>
        <w:pStyle w:val="NormalWeb"/>
        <w:shd w:val="clear" w:color="auto" w:fill="FFFFFF"/>
        <w:spacing w:before="0" w:beforeAutospacing="0" w:after="300" w:afterAutospacing="0"/>
        <w:rPr>
          <w:rFonts w:ascii="Calibri" w:hAnsi="Calibri" w:cs="Calibri"/>
          <w:color w:val="555555"/>
          <w:sz w:val="22"/>
          <w:szCs w:val="22"/>
        </w:rPr>
      </w:pPr>
      <w:r w:rsidRPr="00A90CB4">
        <w:rPr>
          <w:rFonts w:ascii="Calibri" w:hAnsi="Calibri" w:cs="Calibri"/>
          <w:color w:val="555555"/>
          <w:sz w:val="22"/>
          <w:szCs w:val="22"/>
        </w:rPr>
        <w:t xml:space="preserve">The order of the Court is ... that [Williams] is sentenced to imprisonment with hard labour for two years (and I have </w:t>
      </w:r>
      <w:proofErr w:type="gramStart"/>
      <w:r w:rsidRPr="00A90CB4">
        <w:rPr>
          <w:rFonts w:ascii="Calibri" w:hAnsi="Calibri" w:cs="Calibri"/>
          <w:color w:val="555555"/>
          <w:sz w:val="22"/>
          <w:szCs w:val="22"/>
        </w:rPr>
        <w:t>taken into account</w:t>
      </w:r>
      <w:proofErr w:type="gramEnd"/>
      <w:r w:rsidRPr="00A90CB4">
        <w:rPr>
          <w:rFonts w:ascii="Calibri" w:hAnsi="Calibri" w:cs="Calibri"/>
          <w:color w:val="555555"/>
          <w:sz w:val="22"/>
          <w:szCs w:val="22"/>
        </w:rPr>
        <w:t xml:space="preserve"> the three months that he has already spent in custody). That sentence is suspended upon his entering into a bond in the sum of $10 which shall contain the following conditions:</w:t>
      </w:r>
    </w:p>
    <w:p w:rsidRPr="00A90CB4" w:rsidR="00A90CB4" w:rsidP="00A90CB4" w:rsidRDefault="00A90CB4" w14:paraId="421049E9" w14:textId="77777777">
      <w:pPr>
        <w:pStyle w:val="NormalWeb"/>
        <w:shd w:val="clear" w:color="auto" w:fill="FFFFFF"/>
        <w:spacing w:before="0" w:beforeAutospacing="0" w:after="300" w:afterAutospacing="0"/>
        <w:rPr>
          <w:rFonts w:ascii="Calibri" w:hAnsi="Calibri" w:cs="Calibri"/>
          <w:color w:val="555555"/>
          <w:sz w:val="22"/>
          <w:szCs w:val="22"/>
        </w:rPr>
      </w:pPr>
      <w:r w:rsidRPr="00A90CB4">
        <w:rPr>
          <w:rFonts w:ascii="Calibri" w:hAnsi="Calibri" w:cs="Calibri"/>
          <w:color w:val="555555"/>
          <w:sz w:val="22"/>
          <w:szCs w:val="22"/>
        </w:rPr>
        <w:t>1. He shall be of good behaviour for a term of two years from this date.</w:t>
      </w:r>
    </w:p>
    <w:p w:rsidRPr="00A90CB4" w:rsidR="00A90CB4" w:rsidP="00A90CB4" w:rsidRDefault="00A90CB4" w14:paraId="05F04B23" w14:textId="77777777">
      <w:pPr>
        <w:pStyle w:val="NormalWeb"/>
        <w:shd w:val="clear" w:color="auto" w:fill="FFFFFF"/>
        <w:spacing w:before="0" w:beforeAutospacing="0" w:after="300" w:afterAutospacing="0"/>
        <w:rPr>
          <w:rFonts w:ascii="Calibri" w:hAnsi="Calibri" w:cs="Calibri"/>
          <w:color w:val="555555"/>
          <w:sz w:val="22"/>
          <w:szCs w:val="22"/>
        </w:rPr>
      </w:pPr>
      <w:r w:rsidRPr="00A90CB4">
        <w:rPr>
          <w:rFonts w:ascii="Calibri" w:hAnsi="Calibri" w:cs="Calibri"/>
          <w:color w:val="555555"/>
          <w:sz w:val="22"/>
          <w:szCs w:val="22"/>
        </w:rPr>
        <w:t xml:space="preserve">2. He shall return forthwith to his tribe, the </w:t>
      </w:r>
      <w:proofErr w:type="spellStart"/>
      <w:r w:rsidRPr="00A90CB4">
        <w:rPr>
          <w:rFonts w:ascii="Calibri" w:hAnsi="Calibri" w:cs="Calibri"/>
          <w:color w:val="555555"/>
          <w:sz w:val="22"/>
          <w:szCs w:val="22"/>
        </w:rPr>
        <w:t>Kokota</w:t>
      </w:r>
      <w:proofErr w:type="spellEnd"/>
      <w:r w:rsidRPr="00A90CB4">
        <w:rPr>
          <w:rFonts w:ascii="Calibri" w:hAnsi="Calibri" w:cs="Calibri"/>
          <w:color w:val="555555"/>
          <w:sz w:val="22"/>
          <w:szCs w:val="22"/>
        </w:rPr>
        <w:t xml:space="preserve"> tribe, and shall there submit himself to the Tribal Elders and shall, for a period of at least one year from this date, be ruled and governed by the Tribal Elders and shall in all things obey their lawful orders and directions.</w:t>
      </w:r>
    </w:p>
    <w:p w:rsidRPr="00A90CB4" w:rsidR="00A90CB4" w:rsidP="00A90CB4" w:rsidRDefault="00A90CB4" w14:paraId="6E7F28DF" w14:textId="77777777">
      <w:pPr>
        <w:pStyle w:val="NormalWeb"/>
        <w:shd w:val="clear" w:color="auto" w:fill="FFFFFF"/>
        <w:spacing w:before="0" w:beforeAutospacing="0" w:after="0" w:afterAutospacing="0"/>
        <w:rPr>
          <w:rFonts w:ascii="Calibri" w:hAnsi="Calibri" w:cs="Calibri"/>
          <w:color w:val="555555"/>
          <w:sz w:val="22"/>
          <w:szCs w:val="22"/>
        </w:rPr>
      </w:pPr>
      <w:r w:rsidRPr="00A90CB4">
        <w:rPr>
          <w:rFonts w:ascii="Calibri" w:hAnsi="Calibri" w:cs="Calibri"/>
          <w:color w:val="555555"/>
          <w:sz w:val="22"/>
          <w:szCs w:val="22"/>
        </w:rPr>
        <w:t xml:space="preserve">3. In particular, he shall, while he is under the control of the Tribal Elders — and that means for at least that one year referred to — abstain from intoxicating liquor unless he is permitted to drink intoxicating liquor by the Tribal Elders and then only to the extent of any permission </w:t>
      </w:r>
      <w:proofErr w:type="gramStart"/>
      <w:r w:rsidRPr="00A90CB4">
        <w:rPr>
          <w:rFonts w:ascii="Calibri" w:hAnsi="Calibri" w:cs="Calibri"/>
          <w:color w:val="555555"/>
          <w:sz w:val="22"/>
          <w:szCs w:val="22"/>
        </w:rPr>
        <w:t>granted.</w:t>
      </w:r>
      <w:bookmarkStart w:name="_ftnref79" w:id="5"/>
      <w:bookmarkEnd w:id="5"/>
      <w:r w:rsidRPr="00A90CB4">
        <w:rPr>
          <w:rFonts w:ascii="Calibri" w:hAnsi="Calibri" w:cs="Calibri"/>
          <w:color w:val="555555"/>
          <w:sz w:val="22"/>
          <w:szCs w:val="22"/>
        </w:rPr>
        <w:t>[</w:t>
      </w:r>
      <w:proofErr w:type="gramEnd"/>
      <w:r w:rsidRPr="00A90CB4">
        <w:rPr>
          <w:rFonts w:ascii="Calibri" w:hAnsi="Calibri" w:cs="Calibri"/>
          <w:color w:val="555555"/>
          <w:sz w:val="22"/>
          <w:szCs w:val="22"/>
        </w:rPr>
        <w:t>79]</w:t>
      </w:r>
    </w:p>
    <w:p w:rsidRPr="00A90CB4" w:rsidR="00A90CB4" w:rsidP="00A90CB4" w:rsidRDefault="00A90CB4" w14:paraId="1F4FE4D5" w14:textId="77777777">
      <w:pPr>
        <w:pStyle w:val="NormalWeb"/>
        <w:shd w:val="clear" w:color="auto" w:fill="FFFFFF"/>
        <w:spacing w:before="0" w:beforeAutospacing="0" w:after="300" w:afterAutospacing="0"/>
        <w:rPr>
          <w:rFonts w:ascii="Calibri" w:hAnsi="Calibri" w:cs="Calibri"/>
          <w:color w:val="555555"/>
          <w:sz w:val="21"/>
          <w:szCs w:val="21"/>
        </w:rPr>
      </w:pPr>
      <w:r w:rsidRPr="00A90CB4">
        <w:rPr>
          <w:rFonts w:ascii="Calibri" w:hAnsi="Calibri" w:cs="Calibri"/>
          <w:color w:val="555555"/>
          <w:sz w:val="21"/>
          <w:szCs w:val="21"/>
        </w:rPr>
        <w:t xml:space="preserve">It should be noted that his Honour made no reference to traditional punishments of any kind (although the matter had been discussed by counsel), and that he required Williams to submit himself to the ‘lawful </w:t>
      </w:r>
      <w:r w:rsidRPr="00A90CB4">
        <w:rPr>
          <w:rFonts w:ascii="Calibri" w:hAnsi="Calibri" w:cs="Calibri"/>
          <w:color w:val="555555"/>
          <w:sz w:val="21"/>
          <w:szCs w:val="21"/>
        </w:rPr>
        <w:lastRenderedPageBreak/>
        <w:t>orders and directions’ of the tribal elders, by which he clearly meant orders and directions lawful under the general law.</w:t>
      </w:r>
      <w:bookmarkStart w:name="_ftnref80" w:id="6"/>
      <w:bookmarkEnd w:id="6"/>
      <w:r w:rsidRPr="00A90CB4">
        <w:rPr>
          <w:rFonts w:ascii="Calibri" w:hAnsi="Calibri" w:cs="Calibri"/>
          <w:color w:val="555555"/>
          <w:sz w:val="21"/>
          <w:szCs w:val="21"/>
        </w:rPr>
        <w:t>[80] It is not clear what, if anything, Williams or the elders understood by the term ‘lawful’. His Honour explained the sentence in the following terms, in correspondence with the Commission. After referring to the issue of traditional punishment and double jeopardy, he stated:</w:t>
      </w:r>
    </w:p>
    <w:p w:rsidRPr="00A90CB4" w:rsidR="00A90CB4" w:rsidP="00A90CB4" w:rsidRDefault="00A90CB4" w14:paraId="570A6F8F" w14:textId="77777777">
      <w:pPr>
        <w:pStyle w:val="NormalWeb"/>
        <w:shd w:val="clear" w:color="auto" w:fill="FFFFFF"/>
        <w:spacing w:before="0" w:beforeAutospacing="0" w:after="0" w:afterAutospacing="0"/>
        <w:rPr>
          <w:rFonts w:ascii="Calibri" w:hAnsi="Calibri" w:cs="Calibri"/>
          <w:color w:val="555555"/>
          <w:sz w:val="22"/>
          <w:szCs w:val="22"/>
        </w:rPr>
      </w:pPr>
      <w:r w:rsidRPr="00A90CB4">
        <w:rPr>
          <w:rFonts w:ascii="Calibri" w:hAnsi="Calibri" w:cs="Calibri"/>
          <w:color w:val="555555"/>
          <w:sz w:val="22"/>
          <w:szCs w:val="22"/>
        </w:rPr>
        <w:t xml:space="preserve">the real reason why I was disinclined to impose an immediate custodial sentence was because I would almost have been committing the prisoner to a living death while he was in custody and he might very well have gone into a decline and, in fact, have died. The fact was that he had very little English: it would have been impossible for him to have communicated with the staff of the prison or with any fellow prisoners, or to have related to them in any way. He would, in effect, have been in solitary confinement. To condemn a tribal Aborigine to such a fate was something which I wished, if possible, to avoid. The question of punishment by the tribe was barely alluded to, as I recall it, in the Court and certainly no mention was made of what it was the tribal elders had in mind to </w:t>
      </w:r>
      <w:proofErr w:type="gramStart"/>
      <w:r w:rsidRPr="00A90CB4">
        <w:rPr>
          <w:rFonts w:ascii="Calibri" w:hAnsi="Calibri" w:cs="Calibri"/>
          <w:color w:val="555555"/>
          <w:sz w:val="22"/>
          <w:szCs w:val="22"/>
        </w:rPr>
        <w:t>do.</w:t>
      </w:r>
      <w:bookmarkStart w:name="_ftnref81" w:id="7"/>
      <w:bookmarkEnd w:id="7"/>
      <w:r w:rsidRPr="00A90CB4">
        <w:rPr>
          <w:rFonts w:ascii="Calibri" w:hAnsi="Calibri" w:cs="Calibri"/>
          <w:color w:val="555555"/>
          <w:sz w:val="22"/>
          <w:szCs w:val="22"/>
        </w:rPr>
        <w:t>[</w:t>
      </w:r>
      <w:proofErr w:type="gramEnd"/>
      <w:r w:rsidRPr="00A90CB4">
        <w:rPr>
          <w:rFonts w:ascii="Calibri" w:hAnsi="Calibri" w:cs="Calibri"/>
          <w:color w:val="555555"/>
          <w:sz w:val="22"/>
          <w:szCs w:val="22"/>
        </w:rPr>
        <w:t>81]</w:t>
      </w:r>
    </w:p>
    <w:p w:rsidRPr="00A90CB4" w:rsidR="00A90CB4" w:rsidP="00A90CB4" w:rsidRDefault="00A90CB4" w14:paraId="466692EC" w14:textId="77777777">
      <w:pPr>
        <w:pStyle w:val="NormalWeb"/>
        <w:shd w:val="clear" w:color="auto" w:fill="FFFFFF"/>
        <w:spacing w:before="0" w:beforeAutospacing="0" w:after="300" w:afterAutospacing="0"/>
        <w:rPr>
          <w:rFonts w:ascii="Calibri" w:hAnsi="Calibri" w:cs="Calibri"/>
          <w:color w:val="555555"/>
          <w:sz w:val="21"/>
          <w:szCs w:val="21"/>
        </w:rPr>
      </w:pPr>
      <w:r w:rsidRPr="00A90CB4">
        <w:rPr>
          <w:rFonts w:ascii="Calibri" w:hAnsi="Calibri" w:cs="Calibri"/>
          <w:color w:val="555555"/>
          <w:sz w:val="21"/>
          <w:szCs w:val="21"/>
        </w:rPr>
        <w:t>The decision was by no means novel, but it was widely misinterpreted in the press, and, perhaps as a result, by the community at Yalata as well. The Mission Superintendent at the time, Mr BG Lindner, explained the events that followed in these terms:</w:t>
      </w:r>
    </w:p>
    <w:p w:rsidRPr="00A90CB4" w:rsidR="00A90CB4" w:rsidP="00A90CB4" w:rsidRDefault="00A90CB4" w14:paraId="681F36A2" w14:textId="77777777">
      <w:pPr>
        <w:pStyle w:val="NormalWeb"/>
        <w:shd w:val="clear" w:color="auto" w:fill="FFFFFF"/>
        <w:spacing w:before="0" w:beforeAutospacing="0" w:after="0" w:afterAutospacing="0"/>
        <w:rPr>
          <w:rFonts w:ascii="Calibri" w:hAnsi="Calibri" w:cs="Calibri"/>
          <w:color w:val="555555"/>
          <w:sz w:val="22"/>
          <w:szCs w:val="22"/>
        </w:rPr>
      </w:pPr>
      <w:r w:rsidRPr="00A90CB4">
        <w:rPr>
          <w:rFonts w:ascii="Calibri" w:hAnsi="Calibri" w:cs="Calibri"/>
          <w:color w:val="555555"/>
          <w:sz w:val="22"/>
          <w:szCs w:val="22"/>
        </w:rPr>
        <w:t xml:space="preserve">The elders did not want a ‘tribal’ thing made of it. The death had not occurred in anything resembling tribal circumstances. The elders were perplexed by the defence counsel’s aggressive intrusion into tribal matters ... [W]e heard on the radio that Williams was released on a </w:t>
      </w:r>
      <w:proofErr w:type="gramStart"/>
      <w:r w:rsidRPr="00A90CB4">
        <w:rPr>
          <w:rFonts w:ascii="Calibri" w:hAnsi="Calibri" w:cs="Calibri"/>
          <w:color w:val="555555"/>
          <w:sz w:val="22"/>
          <w:szCs w:val="22"/>
        </w:rPr>
        <w:t>two year</w:t>
      </w:r>
      <w:proofErr w:type="gramEnd"/>
      <w:r w:rsidRPr="00A90CB4">
        <w:rPr>
          <w:rFonts w:ascii="Calibri" w:hAnsi="Calibri" w:cs="Calibri"/>
          <w:color w:val="555555"/>
          <w:sz w:val="22"/>
          <w:szCs w:val="22"/>
        </w:rPr>
        <w:t xml:space="preserve"> bond, and that he would be returned to Yalata by police aeroplane that day. The elders were informed but had no interest at all in meeting the plane. The whole matter had become a white-fellow exercise. I met the plane, and was handed a copy of William’s bond. Williams returned with me to the village. He did not go to the nearby aboriginal camp ... [Four days later] Williams agreed that it would be best for him to return to the camp. This he did. He was later ritually speared by an elder ... A thin, plain spear was used: He was speared either three or four times in the thigh. Penetration was not deep, and the spear was not barbed. Williams came to the clinic soon afterwards., and received very minor medical attention. He then returned to the camp ... I have no reason to believe that the spearing was considered by the aboriginal people as being ‘punishment’ for the woman’s death. Tradition demanded subjection to this practice prior to resumption of normal community association s. It is also signalled the end of the matter ... Williams was not taken ‘to areas beyond the Musgraves for about a year’. I heard nothing to indicate that this suggestion came from the men. I gained the impression that Williams thought it a bit of a </w:t>
      </w:r>
      <w:proofErr w:type="gramStart"/>
      <w:r w:rsidRPr="00A90CB4">
        <w:rPr>
          <w:rFonts w:ascii="Calibri" w:hAnsi="Calibri" w:cs="Calibri"/>
          <w:color w:val="555555"/>
          <w:sz w:val="22"/>
          <w:szCs w:val="22"/>
        </w:rPr>
        <w:t>joke.</w:t>
      </w:r>
      <w:bookmarkStart w:name="_ftnref82" w:id="8"/>
      <w:bookmarkEnd w:id="8"/>
      <w:r w:rsidRPr="00A90CB4">
        <w:rPr>
          <w:rFonts w:ascii="Calibri" w:hAnsi="Calibri" w:cs="Calibri"/>
          <w:color w:val="555555"/>
          <w:sz w:val="22"/>
          <w:szCs w:val="22"/>
        </w:rPr>
        <w:t>[</w:t>
      </w:r>
      <w:proofErr w:type="gramEnd"/>
      <w:r w:rsidRPr="00A90CB4">
        <w:rPr>
          <w:rFonts w:ascii="Calibri" w:hAnsi="Calibri" w:cs="Calibri"/>
          <w:color w:val="555555"/>
          <w:sz w:val="22"/>
          <w:szCs w:val="22"/>
        </w:rPr>
        <w:t>82]</w:t>
      </w:r>
    </w:p>
    <w:p w:rsidRPr="00A90CB4" w:rsidR="00A90CB4" w:rsidP="00A90CB4" w:rsidRDefault="00A90CB4" w14:paraId="107FC8F6" w14:textId="77777777">
      <w:pPr>
        <w:pStyle w:val="NormalWeb"/>
        <w:shd w:val="clear" w:color="auto" w:fill="FFFFFF"/>
        <w:spacing w:before="0" w:beforeAutospacing="0" w:after="300" w:afterAutospacing="0"/>
        <w:rPr>
          <w:rFonts w:ascii="Calibri" w:hAnsi="Calibri" w:cs="Calibri"/>
          <w:color w:val="555555"/>
          <w:sz w:val="21"/>
          <w:szCs w:val="21"/>
        </w:rPr>
      </w:pPr>
      <w:r w:rsidRPr="00A90CB4">
        <w:rPr>
          <w:rFonts w:ascii="Calibri" w:hAnsi="Calibri" w:cs="Calibri"/>
          <w:color w:val="555555"/>
          <w:sz w:val="21"/>
          <w:szCs w:val="21"/>
        </w:rPr>
        <w:t xml:space="preserve">Regrettably the concern shown for Williams by the trial judge in this case was ineffective. Williams later committed a series of assaults on Aboriginal women, and was gaoled in 1978 and again in 1980. There is no indication these offences had any customary law elements. The Yalata elders refused to act as sureties for Williams to be released on bail pending trial in </w:t>
      </w:r>
      <w:proofErr w:type="gramStart"/>
      <w:r w:rsidRPr="00A90CB4">
        <w:rPr>
          <w:rFonts w:ascii="Calibri" w:hAnsi="Calibri" w:cs="Calibri"/>
          <w:color w:val="555555"/>
          <w:sz w:val="21"/>
          <w:szCs w:val="21"/>
        </w:rPr>
        <w:t>1978.</w:t>
      </w:r>
      <w:bookmarkStart w:name="_ftnref83" w:id="9"/>
      <w:bookmarkEnd w:id="9"/>
      <w:r w:rsidRPr="00A90CB4">
        <w:rPr>
          <w:rFonts w:ascii="Calibri" w:hAnsi="Calibri" w:cs="Calibri"/>
          <w:color w:val="555555"/>
          <w:sz w:val="21"/>
          <w:szCs w:val="21"/>
        </w:rPr>
        <w:t>[</w:t>
      </w:r>
      <w:proofErr w:type="gramEnd"/>
      <w:r w:rsidRPr="00A90CB4">
        <w:rPr>
          <w:rFonts w:ascii="Calibri" w:hAnsi="Calibri" w:cs="Calibri"/>
          <w:color w:val="555555"/>
          <w:sz w:val="21"/>
          <w:szCs w:val="21"/>
        </w:rPr>
        <w:t>83]</w:t>
      </w:r>
    </w:p>
    <w:p w:rsidRPr="00A90CB4" w:rsidR="00EB1F2B" w:rsidRDefault="00EB1F2B" w14:paraId="114D2C42" w14:textId="77777777">
      <w:pPr>
        <w:rPr>
          <w:rFonts w:ascii="Calibri" w:hAnsi="Calibri" w:cs="Calibri"/>
        </w:rPr>
      </w:pPr>
    </w:p>
    <w:sectPr w:rsidRPr="00A90CB4" w:rsidR="00EB1F2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B4"/>
    <w:rsid w:val="002060CE"/>
    <w:rsid w:val="006C1902"/>
    <w:rsid w:val="00902CF4"/>
    <w:rsid w:val="00A90CB4"/>
    <w:rsid w:val="00B86A4A"/>
    <w:rsid w:val="00EB1F2B"/>
    <w:rsid w:val="015492F1"/>
    <w:rsid w:val="5ED5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A7A7"/>
  <w15:chartTrackingRefBased/>
  <w15:docId w15:val="{98467759-F050-4C25-BE6C-52DC9930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40" w:lineRule="auto"/>
    </w:pPr>
  </w:style>
  <w:style w:type="paragraph" w:styleId="Heading2">
    <w:name w:val="heading 2"/>
    <w:basedOn w:val="Normal"/>
    <w:link w:val="Heading2Char"/>
    <w:uiPriority w:val="9"/>
    <w:qFormat/>
    <w:rsid w:val="00A90CB4"/>
    <w:pPr>
      <w:spacing w:before="100" w:beforeAutospacing="1" w:after="100" w:afterAutospacing="1"/>
      <w:outlineLvl w:val="1"/>
    </w:pPr>
    <w:rPr>
      <w:rFonts w:ascii="Times New Roman" w:hAnsi="Times New Roman" w:eastAsia="Times New Roman" w:cs="Times New Roman"/>
      <w:b/>
      <w:bCs/>
      <w:sz w:val="36"/>
      <w:szCs w:val="36"/>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90CB4"/>
    <w:pPr>
      <w:spacing w:before="100" w:beforeAutospacing="1" w:after="100" w:afterAutospacing="1"/>
    </w:pPr>
    <w:rPr>
      <w:rFonts w:ascii="Times New Roman" w:hAnsi="Times New Roman" w:eastAsia="Times New Roman" w:cs="Times New Roman"/>
      <w:sz w:val="24"/>
      <w:szCs w:val="24"/>
      <w:lang w:eastAsia="en-AU"/>
    </w:rPr>
  </w:style>
  <w:style w:type="character" w:styleId="Heading2Char" w:customStyle="1">
    <w:name w:val="Heading 2 Char"/>
    <w:basedOn w:val="DefaultParagraphFont"/>
    <w:link w:val="Heading2"/>
    <w:uiPriority w:val="9"/>
    <w:rsid w:val="00A90CB4"/>
    <w:rPr>
      <w:rFonts w:ascii="Times New Roman" w:hAnsi="Times New Roman" w:eastAsia="Times New Roman" w:cs="Times New Roman"/>
      <w:b/>
      <w:bCs/>
      <w:sz w:val="36"/>
      <w:szCs w:val="36"/>
      <w:lang w:eastAsia="en-AU"/>
    </w:rPr>
  </w:style>
  <w:style w:type="character" w:styleId="Hyperlink">
    <w:name w:val="Hyperlink"/>
    <w:basedOn w:val="DefaultParagraphFont"/>
    <w:uiPriority w:val="99"/>
    <w:unhideWhenUsed/>
    <w:rsid w:val="00B86A4A"/>
    <w:rPr>
      <w:color w:val="0563C1" w:themeColor="hyperlink"/>
      <w:u w:val="single"/>
    </w:rPr>
  </w:style>
  <w:style w:type="character" w:styleId="UnresolvedMention">
    <w:name w:val="Unresolved Mention"/>
    <w:basedOn w:val="DefaultParagraphFont"/>
    <w:uiPriority w:val="99"/>
    <w:semiHidden/>
    <w:unhideWhenUsed/>
    <w:rsid w:val="00B86A4A"/>
    <w:rPr>
      <w:color w:val="808080"/>
      <w:shd w:val="clear" w:color="auto" w:fill="E6E6E6"/>
    </w:rPr>
  </w:style>
  <w:style w:type="character" w:styleId="FollowedHyperlink">
    <w:name w:val="FollowedHyperlink"/>
    <w:basedOn w:val="DefaultParagraphFont"/>
    <w:uiPriority w:val="99"/>
    <w:semiHidden/>
    <w:unhideWhenUsed/>
    <w:rsid w:val="00B8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6909">
      <w:bodyDiv w:val="1"/>
      <w:marLeft w:val="0"/>
      <w:marRight w:val="0"/>
      <w:marTop w:val="0"/>
      <w:marBottom w:val="0"/>
      <w:divBdr>
        <w:top w:val="none" w:sz="0" w:space="0" w:color="auto"/>
        <w:left w:val="none" w:sz="0" w:space="0" w:color="auto"/>
        <w:bottom w:val="none" w:sz="0" w:space="0" w:color="auto"/>
        <w:right w:val="none" w:sz="0" w:space="0" w:color="auto"/>
      </w:divBdr>
      <w:divsChild>
        <w:div w:id="40327389">
          <w:blockQuote w:val="1"/>
          <w:marLeft w:val="0"/>
          <w:marRight w:val="0"/>
          <w:marTop w:val="0"/>
          <w:marBottom w:val="315"/>
          <w:divBdr>
            <w:top w:val="none" w:sz="0" w:space="0" w:color="auto"/>
            <w:left w:val="none" w:sz="0" w:space="0" w:color="auto"/>
            <w:bottom w:val="none" w:sz="0" w:space="0" w:color="auto"/>
            <w:right w:val="none" w:sz="0" w:space="0" w:color="auto"/>
          </w:divBdr>
        </w:div>
        <w:div w:id="1038511000">
          <w:blockQuote w:val="1"/>
          <w:marLeft w:val="0"/>
          <w:marRight w:val="0"/>
          <w:marTop w:val="0"/>
          <w:marBottom w:val="315"/>
          <w:divBdr>
            <w:top w:val="none" w:sz="0" w:space="0" w:color="auto"/>
            <w:left w:val="none" w:sz="0" w:space="0" w:color="auto"/>
            <w:bottom w:val="none" w:sz="0" w:space="0" w:color="auto"/>
            <w:right w:val="none" w:sz="0" w:space="0" w:color="auto"/>
          </w:divBdr>
        </w:div>
        <w:div w:id="1412117397">
          <w:blockQuote w:val="1"/>
          <w:marLeft w:val="0"/>
          <w:marRight w:val="0"/>
          <w:marTop w:val="0"/>
          <w:marBottom w:val="315"/>
          <w:divBdr>
            <w:top w:val="none" w:sz="0" w:space="0" w:color="auto"/>
            <w:left w:val="none" w:sz="0" w:space="0" w:color="auto"/>
            <w:bottom w:val="none" w:sz="0" w:space="0" w:color="auto"/>
            <w:right w:val="none" w:sz="0" w:space="0" w:color="auto"/>
          </w:divBdr>
        </w:div>
      </w:divsChild>
    </w:div>
    <w:div w:id="16459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alrc.gov.au/publications/21.%20Aboriginal%20Customary%20Laws%20and%20Sentencing/aboriginal-customary-laws-and-sentencing-e"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F3940DF338641BF1E77DB6248ABA4" ma:contentTypeVersion="13" ma:contentTypeDescription="Create a new document." ma:contentTypeScope="" ma:versionID="c5ba0a08b1a6abb4453e906423222b68">
  <xsd:schema xmlns:xsd="http://www.w3.org/2001/XMLSchema" xmlns:xs="http://www.w3.org/2001/XMLSchema" xmlns:p="http://schemas.microsoft.com/office/2006/metadata/properties" xmlns:ns2="bc0f21fc-836c-4e36-81b6-7d3927933d9f" xmlns:ns3="96a14595-d940-406b-819f-2035ce6b58ba" targetNamespace="http://schemas.microsoft.com/office/2006/metadata/properties" ma:root="true" ma:fieldsID="fa4998f91056ce6e88f84b372e881920" ns2:_="" ns3:_="">
    <xsd:import namespace="bc0f21fc-836c-4e36-81b6-7d3927933d9f"/>
    <xsd:import namespace="96a14595-d940-406b-819f-2035ce6b5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f21fc-836c-4e36-81b6-7d3927933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14595-d940-406b-819f-2035ce6b5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32606-4207-4626-95AF-1E56DA2FFC14}"/>
</file>

<file path=customXml/itemProps2.xml><?xml version="1.0" encoding="utf-8"?>
<ds:datastoreItem xmlns:ds="http://schemas.openxmlformats.org/officeDocument/2006/customXml" ds:itemID="{0772A3D7-B790-4C32-A2DE-AAF0A1E541CD}"/>
</file>

<file path=customXml/itemProps3.xml><?xml version="1.0" encoding="utf-8"?>
<ds:datastoreItem xmlns:ds="http://schemas.openxmlformats.org/officeDocument/2006/customXml" ds:itemID="{50C4FF03-B7C1-45E9-9F93-1BBD226CAC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5</cp:revision>
  <dcterms:created xsi:type="dcterms:W3CDTF">2018-07-18T06:18:00Z</dcterms:created>
  <dcterms:modified xsi:type="dcterms:W3CDTF">2020-04-15T03:24:14Z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0x0101009E7F3940DF338641BF1E77DB6248ABA4</vt:lpwstr>
  </property>
  <property fmtid="{D5CDD505-2E9C-101B-9397-08002B2CF9AE}" pid="3" name="AuthorIds_UIVersion_1024">
    <vt:lpwstr>16</vt:lpwstr>
  </property>
  <property fmtid="{D5CDD505-2E9C-101B-9397-08002B2CF9AE}" pid="4" name="Order">
    <vt:r8>7100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