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DAEF8" w14:textId="77777777" w:rsidR="00684C93" w:rsidRPr="00684C93" w:rsidRDefault="00684C93" w:rsidP="00684C93">
      <w:pPr>
        <w:shd w:val="clear" w:color="auto" w:fill="FFFFFF"/>
        <w:spacing w:after="180" w:line="240" w:lineRule="auto"/>
        <w:textAlignment w:val="baseline"/>
        <w:outlineLvl w:val="0"/>
        <w:rPr>
          <w:rFonts w:ascii="Georgia" w:eastAsia="Times New Roman" w:hAnsi="Georgia" w:cs="Times New Roman"/>
          <w:color w:val="000000"/>
          <w:kern w:val="36"/>
          <w:sz w:val="50"/>
          <w:szCs w:val="50"/>
          <w:lang w:val="en-GB" w:eastAsia="en-GB"/>
        </w:rPr>
      </w:pPr>
      <w:r w:rsidRPr="00684C93">
        <w:rPr>
          <w:rFonts w:ascii="Georgia" w:eastAsia="Times New Roman" w:hAnsi="Georgia" w:cs="Times New Roman"/>
          <w:color w:val="000000"/>
          <w:kern w:val="36"/>
          <w:sz w:val="50"/>
          <w:szCs w:val="50"/>
          <w:lang w:val="en-GB" w:eastAsia="en-GB"/>
        </w:rPr>
        <w:t>Guide to Affidavit Accompanying Native Title Form 1 - Claimant Application</w:t>
      </w:r>
    </w:p>
    <w:p w14:paraId="7B0E373B" w14:textId="77777777" w:rsidR="00684C93" w:rsidRPr="00684C93" w:rsidRDefault="00684C93" w:rsidP="00684C93">
      <w:pPr>
        <w:shd w:val="clear" w:color="auto" w:fill="FFFFFF"/>
        <w:spacing w:after="0" w:line="240" w:lineRule="auto"/>
        <w:textAlignment w:val="baseline"/>
        <w:rPr>
          <w:rFonts w:ascii="Arial" w:eastAsia="Times New Roman" w:hAnsi="Arial" w:cs="Arial"/>
          <w:color w:val="3A3A3A"/>
          <w:sz w:val="18"/>
          <w:szCs w:val="18"/>
          <w:lang w:val="en-GB" w:eastAsia="en-GB"/>
        </w:rPr>
      </w:pPr>
      <w:r w:rsidRPr="00684C93">
        <w:rPr>
          <w:rFonts w:ascii="Arial" w:eastAsia="Times New Roman" w:hAnsi="Arial" w:cs="Arial"/>
          <w:color w:val="3A3A3A"/>
          <w:sz w:val="18"/>
          <w:szCs w:val="18"/>
          <w:lang w:val="en-GB" w:eastAsia="en-GB"/>
        </w:rPr>
        <w:t>1.  Section 62 of the </w:t>
      </w:r>
      <w:r w:rsidRPr="00684C93">
        <w:rPr>
          <w:rFonts w:ascii="Arial" w:eastAsia="Times New Roman" w:hAnsi="Arial" w:cs="Arial"/>
          <w:i/>
          <w:iCs/>
          <w:color w:val="3A3A3A"/>
          <w:sz w:val="18"/>
          <w:szCs w:val="18"/>
          <w:bdr w:val="none" w:sz="0" w:space="0" w:color="auto" w:frame="1"/>
          <w:lang w:val="en-GB" w:eastAsia="en-GB"/>
        </w:rPr>
        <w:t>Native Title Act 1993</w:t>
      </w:r>
      <w:r w:rsidRPr="00684C93">
        <w:rPr>
          <w:rFonts w:ascii="Arial" w:eastAsia="Times New Roman" w:hAnsi="Arial" w:cs="Arial"/>
          <w:color w:val="3A3A3A"/>
          <w:sz w:val="18"/>
          <w:szCs w:val="18"/>
          <w:lang w:val="en-GB" w:eastAsia="en-GB"/>
        </w:rPr>
        <w:t> requires that a claimant application must be accompanied by an affidavit sworn by the applicant that verifies that the applicant: </w:t>
      </w:r>
    </w:p>
    <w:p w14:paraId="6B69DC26" w14:textId="77777777" w:rsidR="00684C93" w:rsidRPr="00684C93" w:rsidRDefault="00684C93" w:rsidP="00684C93">
      <w:pPr>
        <w:shd w:val="clear" w:color="auto" w:fill="FFFFFF"/>
        <w:spacing w:after="300" w:line="240" w:lineRule="auto"/>
        <w:textAlignment w:val="baseline"/>
        <w:rPr>
          <w:rFonts w:ascii="Arial" w:eastAsia="Times New Roman" w:hAnsi="Arial" w:cs="Arial"/>
          <w:color w:val="3A3A3A"/>
          <w:sz w:val="18"/>
          <w:szCs w:val="18"/>
          <w:lang w:val="en-GB" w:eastAsia="en-GB"/>
        </w:rPr>
      </w:pPr>
      <w:r w:rsidRPr="00684C93">
        <w:rPr>
          <w:rFonts w:ascii="Arial" w:eastAsia="Times New Roman" w:hAnsi="Arial" w:cs="Arial"/>
          <w:color w:val="3A3A3A"/>
          <w:sz w:val="18"/>
          <w:szCs w:val="18"/>
          <w:lang w:val="en-GB" w:eastAsia="en-GB"/>
        </w:rPr>
        <w:t>(</w:t>
      </w:r>
      <w:proofErr w:type="spellStart"/>
      <w:r w:rsidRPr="00684C93">
        <w:rPr>
          <w:rFonts w:ascii="Arial" w:eastAsia="Times New Roman" w:hAnsi="Arial" w:cs="Arial"/>
          <w:color w:val="3A3A3A"/>
          <w:sz w:val="18"/>
          <w:szCs w:val="18"/>
          <w:lang w:val="en-GB" w:eastAsia="en-GB"/>
        </w:rPr>
        <w:t>i</w:t>
      </w:r>
      <w:proofErr w:type="spellEnd"/>
      <w:r w:rsidRPr="00684C93">
        <w:rPr>
          <w:rFonts w:ascii="Arial" w:eastAsia="Times New Roman" w:hAnsi="Arial" w:cs="Arial"/>
          <w:color w:val="3A3A3A"/>
          <w:sz w:val="18"/>
          <w:szCs w:val="18"/>
          <w:lang w:val="en-GB" w:eastAsia="en-GB"/>
        </w:rPr>
        <w:t>)   believes that the native title rights and interests claimed by the native title claim group have not been extinguished in relation to any part of the area covered by the application; and</w:t>
      </w:r>
    </w:p>
    <w:p w14:paraId="572F989C" w14:textId="77777777" w:rsidR="00684C93" w:rsidRPr="00684C93" w:rsidRDefault="00684C93" w:rsidP="00684C93">
      <w:pPr>
        <w:shd w:val="clear" w:color="auto" w:fill="FFFFFF"/>
        <w:spacing w:after="300" w:line="240" w:lineRule="auto"/>
        <w:textAlignment w:val="baseline"/>
        <w:rPr>
          <w:rFonts w:ascii="Arial" w:eastAsia="Times New Roman" w:hAnsi="Arial" w:cs="Arial"/>
          <w:color w:val="3A3A3A"/>
          <w:sz w:val="18"/>
          <w:szCs w:val="18"/>
          <w:lang w:val="en-GB" w:eastAsia="en-GB"/>
        </w:rPr>
      </w:pPr>
      <w:r w:rsidRPr="00684C93">
        <w:rPr>
          <w:rFonts w:ascii="Arial" w:eastAsia="Times New Roman" w:hAnsi="Arial" w:cs="Arial"/>
          <w:color w:val="3A3A3A"/>
          <w:sz w:val="18"/>
          <w:szCs w:val="18"/>
          <w:lang w:val="en-GB" w:eastAsia="en-GB"/>
        </w:rPr>
        <w:t>(ii)   believes that none of the area covered by the application is also covered by an approved determination of native title; and</w:t>
      </w:r>
    </w:p>
    <w:p w14:paraId="57FE8DC9" w14:textId="77777777" w:rsidR="00684C93" w:rsidRPr="00684C93" w:rsidRDefault="00684C93" w:rsidP="00684C93">
      <w:pPr>
        <w:shd w:val="clear" w:color="auto" w:fill="FFFFFF"/>
        <w:spacing w:after="300" w:line="240" w:lineRule="auto"/>
        <w:textAlignment w:val="baseline"/>
        <w:rPr>
          <w:rFonts w:ascii="Arial" w:eastAsia="Times New Roman" w:hAnsi="Arial" w:cs="Arial"/>
          <w:color w:val="3A3A3A"/>
          <w:sz w:val="18"/>
          <w:szCs w:val="18"/>
          <w:lang w:val="en-GB" w:eastAsia="en-GB"/>
        </w:rPr>
      </w:pPr>
      <w:r w:rsidRPr="00684C93">
        <w:rPr>
          <w:rFonts w:ascii="Arial" w:eastAsia="Times New Roman" w:hAnsi="Arial" w:cs="Arial"/>
          <w:color w:val="3A3A3A"/>
          <w:sz w:val="18"/>
          <w:szCs w:val="18"/>
          <w:lang w:val="en-GB" w:eastAsia="en-GB"/>
        </w:rPr>
        <w:t xml:space="preserve">(iii)   believes that </w:t>
      </w:r>
      <w:proofErr w:type="gramStart"/>
      <w:r w:rsidRPr="00684C93">
        <w:rPr>
          <w:rFonts w:ascii="Arial" w:eastAsia="Times New Roman" w:hAnsi="Arial" w:cs="Arial"/>
          <w:color w:val="3A3A3A"/>
          <w:sz w:val="18"/>
          <w:szCs w:val="18"/>
          <w:lang w:val="en-GB" w:eastAsia="en-GB"/>
        </w:rPr>
        <w:t>all of</w:t>
      </w:r>
      <w:proofErr w:type="gramEnd"/>
      <w:r w:rsidRPr="00684C93">
        <w:rPr>
          <w:rFonts w:ascii="Arial" w:eastAsia="Times New Roman" w:hAnsi="Arial" w:cs="Arial"/>
          <w:color w:val="3A3A3A"/>
          <w:sz w:val="18"/>
          <w:szCs w:val="18"/>
          <w:lang w:val="en-GB" w:eastAsia="en-GB"/>
        </w:rPr>
        <w:t xml:space="preserve"> the statements made in the application are true; and</w:t>
      </w:r>
    </w:p>
    <w:p w14:paraId="5B922E30" w14:textId="77777777" w:rsidR="00684C93" w:rsidRPr="00684C93" w:rsidRDefault="00684C93" w:rsidP="00684C93">
      <w:pPr>
        <w:shd w:val="clear" w:color="auto" w:fill="FFFFFF"/>
        <w:spacing w:after="0" w:line="240" w:lineRule="auto"/>
        <w:textAlignment w:val="baseline"/>
        <w:rPr>
          <w:rFonts w:ascii="Arial" w:eastAsia="Times New Roman" w:hAnsi="Arial" w:cs="Arial"/>
          <w:color w:val="3A3A3A"/>
          <w:sz w:val="18"/>
          <w:szCs w:val="18"/>
          <w:lang w:val="en-GB" w:eastAsia="en-GB"/>
        </w:rPr>
      </w:pPr>
      <w:r w:rsidRPr="00684C93">
        <w:rPr>
          <w:rFonts w:ascii="Arial" w:eastAsia="Times New Roman" w:hAnsi="Arial" w:cs="Arial"/>
          <w:color w:val="3A3A3A"/>
          <w:sz w:val="18"/>
          <w:szCs w:val="18"/>
          <w:lang w:val="en-GB" w:eastAsia="en-GB"/>
        </w:rPr>
        <w:t>(iv)   is authorised by all the persons in the native title claim group to make the application and to deal with matters arising in relation to it. Section 251B of the </w:t>
      </w:r>
      <w:r w:rsidRPr="00684C93">
        <w:rPr>
          <w:rFonts w:ascii="Arial" w:eastAsia="Times New Roman" w:hAnsi="Arial" w:cs="Arial"/>
          <w:i/>
          <w:iCs/>
          <w:color w:val="3A3A3A"/>
          <w:sz w:val="18"/>
          <w:szCs w:val="18"/>
          <w:bdr w:val="none" w:sz="0" w:space="0" w:color="auto" w:frame="1"/>
          <w:lang w:val="en-GB" w:eastAsia="en-GB"/>
        </w:rPr>
        <w:t>Native Title Act 1993</w:t>
      </w:r>
      <w:r w:rsidRPr="00684C93">
        <w:rPr>
          <w:rFonts w:ascii="Arial" w:eastAsia="Times New Roman" w:hAnsi="Arial" w:cs="Arial"/>
          <w:color w:val="3A3A3A"/>
          <w:sz w:val="18"/>
          <w:szCs w:val="18"/>
          <w:lang w:val="en-GB" w:eastAsia="en-GB"/>
        </w:rPr>
        <w:t> states what it means for the applicant to be </w:t>
      </w:r>
      <w:r w:rsidRPr="00684C93">
        <w:rPr>
          <w:rFonts w:ascii="Arial" w:eastAsia="Times New Roman" w:hAnsi="Arial" w:cs="Arial"/>
          <w:i/>
          <w:iCs/>
          <w:color w:val="3A3A3A"/>
          <w:sz w:val="18"/>
          <w:szCs w:val="18"/>
          <w:bdr w:val="none" w:sz="0" w:space="0" w:color="auto" w:frame="1"/>
          <w:lang w:val="en-GB" w:eastAsia="en-GB"/>
        </w:rPr>
        <w:t>authorised </w:t>
      </w:r>
      <w:r w:rsidRPr="00684C93">
        <w:rPr>
          <w:rFonts w:ascii="Arial" w:eastAsia="Times New Roman" w:hAnsi="Arial" w:cs="Arial"/>
          <w:color w:val="3A3A3A"/>
          <w:sz w:val="18"/>
          <w:szCs w:val="18"/>
          <w:lang w:val="en-GB" w:eastAsia="en-GB"/>
        </w:rPr>
        <w:t>by all the persons in the native title claim group. </w:t>
      </w:r>
    </w:p>
    <w:p w14:paraId="1202BCEF" w14:textId="77777777" w:rsidR="00684C93" w:rsidRPr="00684C93" w:rsidRDefault="00684C93" w:rsidP="00684C93">
      <w:pPr>
        <w:shd w:val="clear" w:color="auto" w:fill="FFFFFF"/>
        <w:spacing w:after="300" w:line="240" w:lineRule="auto"/>
        <w:textAlignment w:val="baseline"/>
        <w:rPr>
          <w:rFonts w:ascii="Arial" w:eastAsia="Times New Roman" w:hAnsi="Arial" w:cs="Arial"/>
          <w:color w:val="3A3A3A"/>
          <w:sz w:val="18"/>
          <w:szCs w:val="18"/>
          <w:lang w:val="en-GB" w:eastAsia="en-GB"/>
        </w:rPr>
      </w:pPr>
      <w:r w:rsidRPr="00684C93">
        <w:rPr>
          <w:rFonts w:ascii="Arial" w:eastAsia="Times New Roman" w:hAnsi="Arial" w:cs="Arial"/>
          <w:color w:val="3A3A3A"/>
          <w:sz w:val="18"/>
          <w:szCs w:val="18"/>
          <w:lang w:val="en-GB" w:eastAsia="en-GB"/>
        </w:rPr>
        <w:t>2.  The affidavit must also set out the details of the process of decision-making complied with in authorising the applicant to make the application and to deal with matters arising in relation to it.  </w:t>
      </w:r>
    </w:p>
    <w:p w14:paraId="0E16D9F8" w14:textId="77777777" w:rsidR="00684C93" w:rsidRPr="00684C93" w:rsidRDefault="00684C93" w:rsidP="00684C93">
      <w:pPr>
        <w:shd w:val="clear" w:color="auto" w:fill="FFFFFF"/>
        <w:spacing w:after="0" w:line="240" w:lineRule="auto"/>
        <w:textAlignment w:val="baseline"/>
        <w:rPr>
          <w:rFonts w:ascii="Arial" w:eastAsia="Times New Roman" w:hAnsi="Arial" w:cs="Arial"/>
          <w:color w:val="3A3A3A"/>
          <w:sz w:val="18"/>
          <w:szCs w:val="18"/>
          <w:lang w:val="en-GB" w:eastAsia="en-GB"/>
        </w:rPr>
      </w:pPr>
      <w:r w:rsidRPr="00684C93">
        <w:rPr>
          <w:rFonts w:ascii="Arial" w:eastAsia="Times New Roman" w:hAnsi="Arial" w:cs="Arial"/>
          <w:color w:val="3A3A3A"/>
          <w:sz w:val="18"/>
          <w:szCs w:val="18"/>
          <w:lang w:val="en-GB" w:eastAsia="en-GB"/>
        </w:rPr>
        <w:t>3.  The affidavit should be in accordance with </w:t>
      </w:r>
      <w:hyperlink r:id="rId4" w:history="1">
        <w:r w:rsidRPr="00684C93">
          <w:rPr>
            <w:rFonts w:ascii="Arial" w:eastAsia="Times New Roman" w:hAnsi="Arial" w:cs="Arial"/>
            <w:color w:val="000000"/>
            <w:sz w:val="18"/>
            <w:szCs w:val="18"/>
            <w:u w:val="single"/>
            <w:bdr w:val="none" w:sz="0" w:space="0" w:color="auto" w:frame="1"/>
            <w:lang w:val="en-GB" w:eastAsia="en-GB"/>
          </w:rPr>
          <w:t>Form 59</w:t>
        </w:r>
      </w:hyperlink>
      <w:r w:rsidRPr="00684C93">
        <w:rPr>
          <w:rFonts w:ascii="Arial" w:eastAsia="Times New Roman" w:hAnsi="Arial" w:cs="Arial"/>
          <w:color w:val="3A3A3A"/>
          <w:sz w:val="18"/>
          <w:szCs w:val="18"/>
          <w:lang w:val="en-GB" w:eastAsia="en-GB"/>
        </w:rPr>
        <w:t> of the </w:t>
      </w:r>
      <w:hyperlink r:id="rId5" w:history="1">
        <w:r w:rsidRPr="00684C93">
          <w:rPr>
            <w:rFonts w:ascii="Arial" w:eastAsia="Times New Roman" w:hAnsi="Arial" w:cs="Arial"/>
            <w:color w:val="000000"/>
            <w:sz w:val="18"/>
            <w:szCs w:val="18"/>
            <w:u w:val="single"/>
            <w:bdr w:val="none" w:sz="0" w:space="0" w:color="auto" w:frame="1"/>
            <w:lang w:val="en-GB" w:eastAsia="en-GB"/>
          </w:rPr>
          <w:t>Federal Court Rules 2011</w:t>
        </w:r>
      </w:hyperlink>
      <w:r w:rsidRPr="00684C93">
        <w:rPr>
          <w:rFonts w:ascii="Arial" w:eastAsia="Times New Roman" w:hAnsi="Arial" w:cs="Arial"/>
          <w:color w:val="3A3A3A"/>
          <w:sz w:val="18"/>
          <w:szCs w:val="18"/>
          <w:lang w:val="en-GB" w:eastAsia="en-GB"/>
        </w:rPr>
        <w:t>.</w:t>
      </w:r>
    </w:p>
    <w:p w14:paraId="6D28AE0E" w14:textId="032BB1D2" w:rsidR="005C6BE7" w:rsidRDefault="00460DEF">
      <w:r w:rsidRPr="00460DEF">
        <w:rPr>
          <w:noProof/>
        </w:rPr>
        <w:lastRenderedPageBreak/>
        <w:drawing>
          <wp:inline distT="0" distB="0" distL="0" distR="0" wp14:anchorId="1C680F8F" wp14:editId="1583FA72">
            <wp:extent cx="5934075" cy="649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6496050"/>
                    </a:xfrm>
                    <a:prstGeom prst="rect">
                      <a:avLst/>
                    </a:prstGeom>
                    <a:noFill/>
                    <a:ln>
                      <a:noFill/>
                    </a:ln>
                  </pic:spPr>
                </pic:pic>
              </a:graphicData>
            </a:graphic>
          </wp:inline>
        </w:drawing>
      </w:r>
      <w:bookmarkStart w:id="0" w:name="_GoBack"/>
      <w:bookmarkEnd w:id="0"/>
    </w:p>
    <w:p w14:paraId="2EC1C3B1" w14:textId="5A7D29CD" w:rsidR="00460DEF" w:rsidRDefault="00460DEF"/>
    <w:p w14:paraId="0EB988C6" w14:textId="77777777" w:rsidR="00460DEF" w:rsidRDefault="00460DEF"/>
    <w:sectPr w:rsidR="0046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93"/>
    <w:rsid w:val="002C6072"/>
    <w:rsid w:val="00460DEF"/>
    <w:rsid w:val="005C6BE7"/>
    <w:rsid w:val="0068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30B5"/>
  <w15:chartTrackingRefBased/>
  <w15:docId w15:val="{5EBBE4EF-A549-4A4D-9950-2C8BD8B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55594">
      <w:bodyDiv w:val="1"/>
      <w:marLeft w:val="0"/>
      <w:marRight w:val="0"/>
      <w:marTop w:val="0"/>
      <w:marBottom w:val="0"/>
      <w:divBdr>
        <w:top w:val="none" w:sz="0" w:space="0" w:color="auto"/>
        <w:left w:val="none" w:sz="0" w:space="0" w:color="auto"/>
        <w:bottom w:val="none" w:sz="0" w:space="0" w:color="auto"/>
        <w:right w:val="none" w:sz="0" w:space="0" w:color="auto"/>
      </w:divBdr>
      <w:divsChild>
        <w:div w:id="2025134736">
          <w:marLeft w:val="0"/>
          <w:marRight w:val="0"/>
          <w:marTop w:val="0"/>
          <w:marBottom w:val="0"/>
          <w:divBdr>
            <w:top w:val="none" w:sz="0" w:space="0" w:color="auto"/>
            <w:left w:val="none" w:sz="0" w:space="0" w:color="auto"/>
            <w:bottom w:val="none" w:sz="0" w:space="0" w:color="auto"/>
            <w:right w:val="none" w:sz="0" w:space="0" w:color="auto"/>
          </w:divBdr>
          <w:divsChild>
            <w:div w:id="1508862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comlaw.gov.au/Series/F2011L01551" TargetMode="External"/><Relationship Id="rId4" Type="http://schemas.openxmlformats.org/officeDocument/2006/relationships/hyperlink" Target="https://www.fedcourt.gov.au/forms-and-fees/forms/federal-court-rules/FCA_form059_201905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Curtain</dc:creator>
  <cp:keywords/>
  <dc:description/>
  <cp:lastModifiedBy>Judith Curtain</cp:lastModifiedBy>
  <cp:revision>1</cp:revision>
  <dcterms:created xsi:type="dcterms:W3CDTF">2022-06-21T08:50:00Z</dcterms:created>
  <dcterms:modified xsi:type="dcterms:W3CDTF">2022-06-21T12:40:00Z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2022-06-21T08:50:37Z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d9e83806-3467-4e9b-a088-0000652d4443</vt:lpwstr>
  </property>
  <property fmtid="{D5CDD505-2E9C-101B-9397-08002B2CF9AE}" pid="8" name="MSIP_Label_d7dc88d9-fa17-47eb-a208-3e66f59d50e5_ContentBits">
    <vt:lpwstr>0</vt:lpwstr>
  </property>
</Properties>
</file>